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12bis                                 </w:t>
      </w:r>
      <w:bookmarkStart w:id="3" w:name="_GoBack"/>
      <w:bookmarkEnd w:id="3"/>
      <w:r>
        <w:rPr>
          <w:rFonts w:hint="eastAsia" w:ascii="Arial" w:hAnsi="Arial" w:cs="Arial"/>
          <w:b/>
          <w:sz w:val="24"/>
          <w:szCs w:val="24"/>
          <w:lang w:val="en-US" w:eastAsia="zh-CN"/>
        </w:rPr>
        <w:t>R4-2416344</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cs="Arial"/>
          <w:b/>
          <w:kern w:val="2"/>
          <w:sz w:val="24"/>
          <w:szCs w:val="24"/>
          <w:lang w:val="en-US" w:eastAsia="zh-CN" w:bidi="ar-SA"/>
        </w:rPr>
        <w:t>Hefei</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China</w:t>
      </w:r>
      <w:r>
        <w:rPr>
          <w:rFonts w:hint="eastAsia" w:ascii="Arial" w:hAnsi="Arial" w:eastAsia="宋体" w:cs="Arial"/>
          <w:b/>
          <w:kern w:val="2"/>
          <w:sz w:val="24"/>
          <w:szCs w:val="24"/>
          <w:lang w:val="en-US" w:eastAsia="zh-CN" w:bidi="ar-SA"/>
        </w:rPr>
        <w:t>, 1</w:t>
      </w:r>
      <w:r>
        <w:rPr>
          <w:rFonts w:hint="eastAsia" w:ascii="Arial" w:hAnsi="Arial" w:cs="Arial"/>
          <w:b/>
          <w:kern w:val="2"/>
          <w:sz w:val="24"/>
          <w:szCs w:val="24"/>
          <w:lang w:val="en-US" w:eastAsia="zh-CN" w:bidi="ar-SA"/>
        </w:rPr>
        <w:t>4</w:t>
      </w:r>
      <w:r>
        <w:rPr>
          <w:rFonts w:hint="eastAsia" w:ascii="Arial" w:hAnsi="Arial" w:eastAsia="宋体" w:cs="Arial"/>
          <w:b/>
          <w:kern w:val="2"/>
          <w:sz w:val="24"/>
          <w:szCs w:val="24"/>
          <w:lang w:val="en-US" w:eastAsia="zh-CN" w:bidi="ar-SA"/>
        </w:rPr>
        <w:t xml:space="preserve"> – </w:t>
      </w:r>
      <w:r>
        <w:rPr>
          <w:rFonts w:hint="eastAsia" w:ascii="Arial" w:hAnsi="Arial" w:cs="Arial"/>
          <w:b/>
          <w:kern w:val="2"/>
          <w:sz w:val="24"/>
          <w:szCs w:val="24"/>
          <w:lang w:val="en-US" w:eastAsia="zh-CN" w:bidi="ar-SA"/>
        </w:rPr>
        <w:t>18</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October</w:t>
      </w:r>
      <w:r>
        <w:rPr>
          <w:rFonts w:hint="eastAsia" w:ascii="Arial" w:hAnsi="Arial" w:eastAsia="宋体" w:cs="Arial"/>
          <w:b/>
          <w:kern w:val="2"/>
          <w:sz w:val="24"/>
          <w:szCs w:val="24"/>
          <w:lang w:val="en-US" w:eastAsia="zh-CN" w:bidi="ar-SA"/>
        </w:rPr>
        <w:t>,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spatial channel model for demodulation performance requirements</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6.14.2</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study on spatial channel model for demodulation performance was approved in [1], wherein the study item includes the following objectives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val="0"/>
              <w:numPr>
                <w:ilvl w:val="0"/>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practical spatial channel modelling methodology for both SU- and MU-MIMO demodulation requirements and CSI reporting requirements: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Identify the limitations of the current (i.e. up to and including Release 18) channel models and corresponding scenarios and how they relate to UE MIMO performance</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Consider both Clustered Delay Line (CDL)-based and TDL-based channel modelling approaches</w:t>
            </w:r>
          </w:p>
          <w:p>
            <w:pPr>
              <w:pStyle w:val="33"/>
              <w:keepNext w:val="0"/>
              <w:keepLines w:val="0"/>
              <w:widowControl w:val="0"/>
              <w:numPr>
                <w:ilvl w:val="2"/>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For CDL-based channel modelling, use the tuned repeatable spatial channel model of TR38.827 as the starting point and identify any necessary changes.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and verify test methodology feasibility including test complexity and achievable results uncertainty. The test complexity shall not be significantly increased.</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szCs w:val="22"/>
                <w:vertAlign w:val="baseline"/>
                <w:lang w:val="en-US" w:eastAsia="zh-CN"/>
              </w:rPr>
            </w:pPr>
            <w:r>
              <w:rPr>
                <w:rFonts w:hint="default" w:eastAsia="Yu Mincho"/>
                <w:sz w:val="21"/>
                <w:szCs w:val="21"/>
                <w:lang w:eastAsia="zh-CN" w:bidi="hi-IN"/>
              </w:rPr>
              <w:t>The methodology shall include both FR1 (conducted) and FR2 (wireless cable), with first priority for FR1.</w:t>
            </w:r>
          </w:p>
        </w:tc>
      </w:tr>
    </w:tbl>
    <w:p>
      <w:pPr>
        <w:spacing w:before="120" w:after="120"/>
        <w:rPr>
          <w:rFonts w:hint="default"/>
          <w:lang w:val="en-US" w:eastAsia="zh-CN"/>
        </w:rPr>
      </w:pPr>
      <w:r>
        <w:rPr>
          <w:rFonts w:hint="eastAsia"/>
          <w:lang w:val="en-US" w:eastAsia="zh-CN"/>
        </w:rPr>
        <w:t>In this contribution, we give some initial simulation results on the practical spatial channel modelling methodology.</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eastAsia"/>
          <w:szCs w:val="24"/>
          <w:lang w:val="en-US" w:eastAsia="zh-CN"/>
        </w:rPr>
      </w:pPr>
      <w:r>
        <w:rPr>
          <w:rFonts w:hint="eastAsia"/>
          <w:b w:val="0"/>
          <w:bCs w:val="0"/>
          <w:i w:val="0"/>
          <w:iCs w:val="0"/>
          <w:szCs w:val="21"/>
          <w:lang w:val="en-US" w:eastAsia="zh-CN"/>
        </w:rPr>
        <w:t>During the last meeting, RAN4 discussed how to construct the SCM channel model, and agreed some simulation parameters to do link level simulation. Regarding the methodology of SCM model, RAN4 p</w:t>
      </w:r>
      <w:r>
        <w:rPr>
          <w:rFonts w:hint="eastAsia"/>
          <w:szCs w:val="24"/>
          <w:lang w:eastAsia="zh-CN"/>
        </w:rPr>
        <w:t>rioritize</w:t>
      </w:r>
      <w:r>
        <w:rPr>
          <w:rFonts w:hint="eastAsia"/>
          <w:szCs w:val="24"/>
          <w:lang w:val="en-US" w:eastAsia="zh-CN"/>
        </w:rPr>
        <w:t xml:space="preserve">d 38.827 UMa-CDL-C for initial comparison and alignment. Based on this agreement [2], we give some initial simulation results for TDL and CDL channel model. </w:t>
      </w:r>
    </w:p>
    <w:p>
      <w:pPr>
        <w:widowControl w:val="0"/>
        <w:spacing w:beforeLines="100" w:afterLines="0" w:line="240" w:lineRule="auto"/>
        <w:jc w:val="both"/>
        <w:rPr>
          <w:rFonts w:hint="default"/>
          <w:b/>
          <w:bCs/>
          <w:i/>
          <w:iCs/>
          <w:szCs w:val="21"/>
          <w:lang w:val="en-US" w:eastAsia="zh-CN"/>
        </w:rPr>
      </w:pPr>
      <w:r>
        <w:rPr>
          <w:rFonts w:hint="eastAsia"/>
          <w:szCs w:val="24"/>
          <w:lang w:val="en-US" w:eastAsia="zh-CN"/>
        </w:rPr>
        <w:t>Regarding simulation assumptions, we reused R-18 8Rx assumptions as baseline expect channel model parameters of CDL-C. And for CDL-C channel model, we reused TR38.827 as baseline.</w:t>
      </w:r>
    </w:p>
    <w:p>
      <w:pPr>
        <w:widowControl w:val="0"/>
        <w:spacing w:beforeLines="100" w:afterLines="0" w:line="240" w:lineRule="auto"/>
        <w:jc w:val="both"/>
        <w:rPr>
          <w:rFonts w:hint="default"/>
          <w:szCs w:val="24"/>
          <w:lang w:val="en-US" w:eastAsia="zh-CN"/>
        </w:rPr>
      </w:pPr>
      <w:r>
        <w:rPr>
          <w:rFonts w:hint="default"/>
          <w:szCs w:val="24"/>
          <w:lang w:val="en-US" w:eastAsia="zh-CN"/>
        </w:rPr>
        <w:t xml:space="preserve">In this section, we present the simulation results in terms of the normalized PDSCH throughput as function of the signal to noise ratio (SNR). We depict the SNR value corresponding to 70% of the peak throughput. All figures have been provided in </w:t>
      </w:r>
      <w:r>
        <w:rPr>
          <w:rFonts w:hint="eastAsia"/>
          <w:szCs w:val="24"/>
          <w:lang w:val="en-US" w:eastAsia="zh-CN"/>
        </w:rPr>
        <w:t>following Tables</w:t>
      </w:r>
      <w:r>
        <w:rPr>
          <w:rFonts w:hint="default"/>
          <w:szCs w:val="24"/>
          <w:lang w:val="en-US" w:eastAsia="zh-CN"/>
        </w:rPr>
        <w:t>.</w:t>
      </w: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ascii="Times New Roman" w:hAnsi="Times New Roman" w:cs="Times New Roman"/>
          <w:b/>
          <w:bCs/>
          <w:i/>
          <w:iCs/>
          <w:szCs w:val="21"/>
          <w:lang w:val="en-US" w:eastAsia="zh-CN"/>
        </w:rPr>
      </w:pPr>
      <w:r>
        <w:rPr>
          <w:rFonts w:hint="default" w:ascii="Times New Roman" w:hAnsi="Times New Roman" w:eastAsia="宋体" w:cs="Times New Roman"/>
          <w:b/>
          <w:bCs/>
          <w:kern w:val="2"/>
          <w:sz w:val="21"/>
          <w:lang w:val="en-US" w:eastAsia="zh-CN" w:bidi="ar-SA"/>
        </w:rPr>
        <w:t xml:space="preserve">Table </w:t>
      </w:r>
      <w:r>
        <w:rPr>
          <w:rFonts w:hint="default" w:ascii="Times New Roman" w:hAnsi="Times New Roman" w:cs="Times New Roman"/>
          <w:b/>
          <w:bCs/>
          <w:kern w:val="2"/>
          <w:sz w:val="21"/>
          <w:lang w:val="en-US" w:eastAsia="zh-CN" w:bidi="ar-SA"/>
        </w:rPr>
        <w:t>2-</w:t>
      </w:r>
      <w:r>
        <w:rPr>
          <w:rFonts w:hint="default" w:ascii="Times New Roman" w:hAnsi="Times New Roman" w:eastAsia="宋体" w:cs="Times New Roman"/>
          <w:b/>
          <w:bCs/>
          <w:kern w:val="2"/>
          <w:sz w:val="21"/>
          <w:lang w:val="en-US" w:eastAsia="zh-CN" w:bidi="ar-SA"/>
        </w:rPr>
        <w:t>1. SNR corresponding to 70% maximum throughput</w:t>
      </w:r>
      <w:r>
        <w:rPr>
          <w:rFonts w:hint="default" w:ascii="Times New Roman" w:hAnsi="Times New Roman" w:cs="Times New Roman"/>
          <w:b/>
          <w:bCs/>
          <w:kern w:val="2"/>
          <w:sz w:val="21"/>
          <w:lang w:val="en-US" w:eastAsia="zh-CN" w:bidi="ar-SA"/>
        </w:rPr>
        <w:t xml:space="preserve"> under Rank 2</w:t>
      </w:r>
    </w:p>
    <w:tbl>
      <w:tblPr>
        <w:tblStyle w:val="22"/>
        <w:tblW w:w="7085" w:type="dxa"/>
        <w:jc w:val="center"/>
        <w:tblLayout w:type="fixed"/>
        <w:tblCellMar>
          <w:top w:w="0" w:type="dxa"/>
          <w:left w:w="108" w:type="dxa"/>
          <w:bottom w:w="0" w:type="dxa"/>
          <w:right w:w="108" w:type="dxa"/>
        </w:tblCellMar>
      </w:tblPr>
      <w:tblGrid>
        <w:gridCol w:w="937"/>
        <w:gridCol w:w="1190"/>
        <w:gridCol w:w="1114"/>
        <w:gridCol w:w="1588"/>
        <w:gridCol w:w="1095"/>
        <w:gridCol w:w="1161"/>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114"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588"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cs="Times New Roman"/>
                <w:b/>
                <w:bCs/>
                <w:sz w:val="16"/>
                <w:szCs w:val="16"/>
                <w:lang w:val="en-US" w:eastAsia="zh-CN"/>
              </w:rPr>
              <w:t>Baseline</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w:t>
            </w:r>
            <w:r>
              <w:rPr>
                <w:rFonts w:hint="default" w:eastAsia="宋体" w:cs="Times New Roman"/>
                <w:b/>
                <w:bCs/>
                <w:sz w:val="16"/>
                <w:szCs w:val="16"/>
                <w:lang w:val="en-US" w:eastAsia="zh-CN"/>
              </w:rPr>
              <w:t>SNR@70% maxTP</w:t>
            </w:r>
            <w:r>
              <w:rPr>
                <w:rFonts w:hint="eastAsia" w:cs="Times New Roman"/>
                <w:b/>
                <w:bCs/>
                <w:sz w:val="16"/>
                <w:szCs w:val="16"/>
                <w:lang w:val="en-US" w:eastAsia="zh-CN"/>
              </w:rPr>
              <w:t>)</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cs="Times New Roman"/>
                <w:b/>
                <w:bCs/>
                <w:sz w:val="16"/>
                <w:szCs w:val="16"/>
                <w:lang w:val="en-US" w:eastAsia="zh-CN"/>
              </w:rPr>
            </w:pPr>
            <w:r>
              <w:rPr>
                <w:rFonts w:hint="eastAsia" w:cs="Times New Roman"/>
                <w:b/>
                <w:bCs/>
                <w:sz w:val="16"/>
                <w:szCs w:val="16"/>
                <w:lang w:val="en-US" w:eastAsia="zh-CN"/>
              </w:rPr>
              <w:t>Simplified</w:t>
            </w:r>
          </w:p>
          <w:p>
            <w:pPr>
              <w:keepNext w:val="0"/>
              <w:keepLines w:val="0"/>
              <w:widowControl/>
              <w:suppressLineNumbers w:val="0"/>
              <w:spacing w:before="0" w:beforeAutospacing="0" w:after="0" w:afterAutospacing="0" w:line="240" w:lineRule="auto"/>
              <w:ind w:left="0" w:right="0"/>
              <w:jc w:val="center"/>
              <w:rPr>
                <w:rFonts w:hint="default" w:cs="Times New Roman"/>
                <w:b/>
                <w:bCs/>
                <w:sz w:val="16"/>
                <w:szCs w:val="16"/>
                <w:lang w:val="en-US" w:eastAsia="zh-CN"/>
              </w:rPr>
            </w:pPr>
            <w:r>
              <w:rPr>
                <w:rFonts w:hint="eastAsia" w:cs="Times New Roman"/>
                <w:b/>
                <w:bCs/>
                <w:sz w:val="16"/>
                <w:szCs w:val="16"/>
                <w:lang w:val="en-US" w:eastAsia="zh-CN"/>
              </w:rPr>
              <w:t>(</w:t>
            </w:r>
            <w:r>
              <w:rPr>
                <w:rFonts w:hint="default" w:eastAsia="宋体" w:cs="Times New Roman"/>
                <w:b/>
                <w:bCs/>
                <w:sz w:val="16"/>
                <w:szCs w:val="16"/>
                <w:lang w:val="en-US" w:eastAsia="zh-CN"/>
              </w:rPr>
              <w:t>SNR@70% maxTP</w:t>
            </w:r>
            <w:r>
              <w:rPr>
                <w:rFonts w:hint="eastAsia" w:cs="Times New Roman"/>
                <w:b/>
                <w:bCs/>
                <w:sz w:val="16"/>
                <w:szCs w:val="16"/>
                <w:lang w:val="en-US" w:eastAsia="zh-CN"/>
              </w:rPr>
              <w:t>)</w:t>
            </w:r>
          </w:p>
        </w:tc>
      </w:tr>
      <w:tr>
        <w:tblPrEx>
          <w:tblCellMar>
            <w:top w:w="0" w:type="dxa"/>
            <w:left w:w="108" w:type="dxa"/>
            <w:bottom w:w="0" w:type="dxa"/>
            <w:right w:w="108" w:type="dxa"/>
          </w:tblCellMar>
        </w:tblPrEx>
        <w:trPr>
          <w:trHeight w:val="90" w:hRule="atLeast"/>
          <w:jc w:val="center"/>
        </w:trPr>
        <w:tc>
          <w:tcPr>
            <w:tcW w:w="9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sz w:val="18"/>
                <w:szCs w:val="18"/>
              </w:rPr>
            </w:pPr>
            <w:r>
              <w:rPr>
                <w:rFonts w:hint="eastAsia"/>
                <w:sz w:val="18"/>
                <w:szCs w:val="18"/>
              </w:rPr>
              <w:t>TDD 40 MHz/30 kHz</w:t>
            </w:r>
          </w:p>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sz w:val="18"/>
                <w:szCs w:val="18"/>
              </w:rPr>
              <w:t>(106)</w:t>
            </w:r>
          </w:p>
        </w:tc>
        <w:tc>
          <w:tcPr>
            <w:tcW w:w="11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1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r>
              <w:rPr>
                <w:rFonts w:hint="eastAsia" w:cs="Times New Roman"/>
                <w:sz w:val="16"/>
                <w:szCs w:val="16"/>
                <w:lang w:val="en-US" w:eastAsia="zh-CN"/>
              </w:rPr>
              <w:t>Rank 2, MCS 19</w:t>
            </w:r>
          </w:p>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(Table 1)</w:t>
            </w:r>
          </w:p>
        </w:tc>
        <w:tc>
          <w:tcPr>
            <w:tcW w:w="15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TDLA 30-10 ULA Low</w:t>
            </w:r>
          </w:p>
        </w:tc>
        <w:tc>
          <w:tcPr>
            <w:tcW w:w="109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7.3</w:t>
            </w:r>
          </w:p>
        </w:tc>
        <w:tc>
          <w:tcPr>
            <w:tcW w:w="11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8.5</w:t>
            </w:r>
          </w:p>
        </w:tc>
      </w:tr>
      <w:tr>
        <w:tblPrEx>
          <w:tblCellMar>
            <w:top w:w="0" w:type="dxa"/>
            <w:left w:w="108" w:type="dxa"/>
            <w:bottom w:w="0" w:type="dxa"/>
            <w:right w:w="108" w:type="dxa"/>
          </w:tblCellMar>
        </w:tblPrEx>
        <w:trPr>
          <w:trHeight w:val="384" w:hRule="atLeast"/>
          <w:jc w:val="center"/>
        </w:trPr>
        <w:tc>
          <w:tcPr>
            <w:tcW w:w="9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TDLC 300-100 ULA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8.6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9.2</w:t>
            </w:r>
          </w:p>
        </w:tc>
      </w:tr>
      <w:tr>
        <w:tblPrEx>
          <w:tblCellMar>
            <w:top w:w="0" w:type="dxa"/>
            <w:left w:w="108" w:type="dxa"/>
            <w:bottom w:w="0" w:type="dxa"/>
            <w:right w:w="108" w:type="dxa"/>
          </w:tblCellMar>
        </w:tblPrEx>
        <w:trPr>
          <w:trHeight w:val="74" w:hRule="atLeast"/>
          <w:jc w:val="center"/>
        </w:trPr>
        <w:tc>
          <w:tcPr>
            <w:tcW w:w="9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CDL-C UMa (38.827)</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11.1</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15.0</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ascii="Times New Roman" w:hAnsi="Times New Roman" w:eastAsia="宋体" w:cs="Times New Roman"/>
          <w:b/>
          <w:bCs/>
          <w:kern w:val="2"/>
          <w:sz w:val="21"/>
          <w:lang w:val="en-US" w:eastAsia="zh-CN" w:bidi="ar-SA"/>
        </w:rPr>
      </w:pPr>
      <w:r>
        <w:rPr>
          <w:rFonts w:hint="eastAsia" w:ascii="Times New Roman" w:hAnsi="Times New Roman" w:eastAsia="宋体" w:cs="Times New Roman"/>
          <w:b/>
          <w:bCs/>
          <w:kern w:val="2"/>
          <w:sz w:val="21"/>
          <w:lang w:val="en-US" w:eastAsia="zh-CN" w:bidi="ar-SA"/>
        </w:rPr>
        <w:t>Table 2-2. Throughput curves for Rank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20"/>
        <w:gridCol w:w="4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bCs/>
                <w:i/>
                <w:iCs/>
                <w:szCs w:val="21"/>
                <w:vertAlign w:val="baseline"/>
                <w:lang w:val="en-US" w:eastAsia="zh-CN"/>
              </w:rPr>
            </w:pPr>
            <w:r>
              <w:rPr>
                <w:rFonts w:hint="default"/>
                <w:szCs w:val="20"/>
              </w:rPr>
              <w:drawing>
                <wp:inline distT="0" distB="0" distL="114300" distR="114300">
                  <wp:extent cx="3140710" cy="2356485"/>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3140710" cy="2356485"/>
                          </a:xfrm>
                          <a:prstGeom prst="rect">
                            <a:avLst/>
                          </a:prstGeom>
                          <a:noFill/>
                          <a:ln w="9525">
                            <a:noFill/>
                          </a:ln>
                        </pic:spPr>
                      </pic:pic>
                    </a:graphicData>
                  </a:graphic>
                </wp:inline>
              </w:drawing>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bCs/>
                <w:i/>
                <w:iCs/>
                <w:szCs w:val="21"/>
                <w:vertAlign w:val="baseline"/>
                <w:lang w:val="en-US" w:eastAsia="zh-CN"/>
              </w:rPr>
            </w:pPr>
            <w:r>
              <w:rPr>
                <w:rFonts w:hint="default"/>
                <w:szCs w:val="20"/>
              </w:rPr>
              <w:drawing>
                <wp:inline distT="0" distB="0" distL="114300" distR="114300">
                  <wp:extent cx="3033395" cy="227647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3033395" cy="227647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val="0"/>
                <w:bCs w:val="0"/>
                <w:i/>
                <w:iCs/>
                <w:szCs w:val="21"/>
                <w:vertAlign w:val="baseline"/>
                <w:lang w:val="en-US" w:eastAsia="zh-CN"/>
              </w:rPr>
            </w:pPr>
            <w:r>
              <w:rPr>
                <w:rFonts w:hint="default"/>
                <w:szCs w:val="20"/>
              </w:rPr>
              <w:drawing>
                <wp:inline distT="0" distB="0" distL="114300" distR="114300">
                  <wp:extent cx="3103880" cy="2328545"/>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4"/>
                          <a:stretch>
                            <a:fillRect/>
                          </a:stretch>
                        </pic:blipFill>
                        <pic:spPr>
                          <a:xfrm>
                            <a:off x="0" y="0"/>
                            <a:ext cx="3103880" cy="2328545"/>
                          </a:xfrm>
                          <a:prstGeom prst="rect">
                            <a:avLst/>
                          </a:prstGeom>
                          <a:noFill/>
                          <a:ln w="9525">
                            <a:noFill/>
                          </a:ln>
                        </pic:spPr>
                      </pic:pic>
                    </a:graphicData>
                  </a:graphic>
                </wp:inline>
              </w:drawing>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bCs/>
                <w:i/>
                <w:iCs/>
                <w:szCs w:val="21"/>
                <w:vertAlign w:val="baseline"/>
                <w:lang w:val="en-US" w:eastAsia="zh-CN"/>
              </w:rPr>
            </w:pP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ascii="Times New Roman" w:hAnsi="Times New Roman" w:eastAsia="宋体" w:cs="Times New Roman"/>
          <w:b/>
          <w:bCs/>
          <w:kern w:val="2"/>
          <w:sz w:val="21"/>
          <w:lang w:val="en-US" w:eastAsia="zh-CN" w:bidi="ar-SA"/>
        </w:rPr>
      </w:pPr>
      <w:r>
        <w:rPr>
          <w:rFonts w:hint="eastAsia" w:ascii="Times New Roman" w:hAnsi="Times New Roman" w:eastAsia="宋体" w:cs="Times New Roman"/>
          <w:b/>
          <w:bCs/>
          <w:kern w:val="2"/>
          <w:sz w:val="21"/>
          <w:lang w:val="en-US" w:eastAsia="zh-CN" w:bidi="ar-SA"/>
        </w:rPr>
        <w:t>Table 2-3. SNR corresponding to 70% maximum throughput under Rank 4</w:t>
      </w:r>
    </w:p>
    <w:tbl>
      <w:tblPr>
        <w:tblStyle w:val="22"/>
        <w:tblW w:w="7085" w:type="dxa"/>
        <w:jc w:val="center"/>
        <w:tblLayout w:type="fixed"/>
        <w:tblCellMar>
          <w:top w:w="0" w:type="dxa"/>
          <w:left w:w="108" w:type="dxa"/>
          <w:bottom w:w="0" w:type="dxa"/>
          <w:right w:w="108" w:type="dxa"/>
        </w:tblCellMar>
      </w:tblPr>
      <w:tblGrid>
        <w:gridCol w:w="937"/>
        <w:gridCol w:w="1190"/>
        <w:gridCol w:w="1114"/>
        <w:gridCol w:w="1588"/>
        <w:gridCol w:w="1095"/>
        <w:gridCol w:w="1161"/>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114"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588"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cs="Times New Roman"/>
                <w:b/>
                <w:bCs/>
                <w:sz w:val="16"/>
                <w:szCs w:val="16"/>
                <w:lang w:val="en-US" w:eastAsia="zh-CN"/>
              </w:rPr>
              <w:t>Baseline</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w:t>
            </w:r>
            <w:r>
              <w:rPr>
                <w:rFonts w:hint="default" w:eastAsia="宋体" w:cs="Times New Roman"/>
                <w:b/>
                <w:bCs/>
                <w:sz w:val="16"/>
                <w:szCs w:val="16"/>
                <w:lang w:val="en-US" w:eastAsia="zh-CN"/>
              </w:rPr>
              <w:t>SNR@70% maxTP</w:t>
            </w:r>
            <w:r>
              <w:rPr>
                <w:rFonts w:hint="eastAsia" w:cs="Times New Roman"/>
                <w:b/>
                <w:bCs/>
                <w:sz w:val="16"/>
                <w:szCs w:val="16"/>
                <w:lang w:val="en-US" w:eastAsia="zh-CN"/>
              </w:rPr>
              <w:t>)</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cs="Times New Roman"/>
                <w:b/>
                <w:bCs/>
                <w:sz w:val="16"/>
                <w:szCs w:val="16"/>
                <w:lang w:val="en-US" w:eastAsia="zh-CN"/>
              </w:rPr>
            </w:pPr>
            <w:r>
              <w:rPr>
                <w:rFonts w:hint="eastAsia" w:cs="Times New Roman"/>
                <w:b/>
                <w:bCs/>
                <w:sz w:val="16"/>
                <w:szCs w:val="16"/>
                <w:lang w:val="en-US" w:eastAsia="zh-CN"/>
              </w:rPr>
              <w:t>Simplified</w:t>
            </w:r>
          </w:p>
          <w:p>
            <w:pPr>
              <w:keepNext w:val="0"/>
              <w:keepLines w:val="0"/>
              <w:widowControl/>
              <w:suppressLineNumbers w:val="0"/>
              <w:spacing w:before="0" w:beforeAutospacing="0" w:after="0" w:afterAutospacing="0" w:line="240" w:lineRule="auto"/>
              <w:ind w:left="0" w:right="0"/>
              <w:jc w:val="center"/>
              <w:rPr>
                <w:rFonts w:hint="default" w:cs="Times New Roman"/>
                <w:b/>
                <w:bCs/>
                <w:sz w:val="16"/>
                <w:szCs w:val="16"/>
                <w:lang w:val="en-US" w:eastAsia="zh-CN"/>
              </w:rPr>
            </w:pPr>
            <w:r>
              <w:rPr>
                <w:rFonts w:hint="eastAsia" w:cs="Times New Roman"/>
                <w:b/>
                <w:bCs/>
                <w:sz w:val="16"/>
                <w:szCs w:val="16"/>
                <w:lang w:val="en-US" w:eastAsia="zh-CN"/>
              </w:rPr>
              <w:t>(</w:t>
            </w:r>
            <w:r>
              <w:rPr>
                <w:rFonts w:hint="default" w:eastAsia="宋体" w:cs="Times New Roman"/>
                <w:b/>
                <w:bCs/>
                <w:sz w:val="16"/>
                <w:szCs w:val="16"/>
                <w:lang w:val="en-US" w:eastAsia="zh-CN"/>
              </w:rPr>
              <w:t>SNR@70% maxTP</w:t>
            </w:r>
            <w:r>
              <w:rPr>
                <w:rFonts w:hint="eastAsia" w:cs="Times New Roman"/>
                <w:b/>
                <w:bCs/>
                <w:sz w:val="16"/>
                <w:szCs w:val="16"/>
                <w:lang w:val="en-US" w:eastAsia="zh-CN"/>
              </w:rPr>
              <w:t>)</w:t>
            </w:r>
          </w:p>
        </w:tc>
      </w:tr>
      <w:tr>
        <w:tblPrEx>
          <w:tblCellMar>
            <w:top w:w="0" w:type="dxa"/>
            <w:left w:w="108" w:type="dxa"/>
            <w:bottom w:w="0" w:type="dxa"/>
            <w:right w:w="108" w:type="dxa"/>
          </w:tblCellMar>
        </w:tblPrEx>
        <w:trPr>
          <w:trHeight w:val="90" w:hRule="atLeast"/>
          <w:jc w:val="center"/>
        </w:trPr>
        <w:tc>
          <w:tcPr>
            <w:tcW w:w="9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sz w:val="18"/>
                <w:szCs w:val="18"/>
              </w:rPr>
            </w:pPr>
            <w:r>
              <w:rPr>
                <w:rFonts w:hint="eastAsia"/>
                <w:sz w:val="18"/>
                <w:szCs w:val="18"/>
              </w:rPr>
              <w:t>TDD 40 MHz/30 kHz</w:t>
            </w:r>
          </w:p>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sz w:val="18"/>
                <w:szCs w:val="18"/>
              </w:rPr>
              <w:t>(106)</w:t>
            </w:r>
          </w:p>
        </w:tc>
        <w:tc>
          <w:tcPr>
            <w:tcW w:w="11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4T8R</w:t>
            </w:r>
          </w:p>
        </w:tc>
        <w:tc>
          <w:tcPr>
            <w:tcW w:w="11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Rank 4, MCS 17</w:t>
            </w:r>
          </w:p>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(Table 1)</w:t>
            </w:r>
          </w:p>
        </w:tc>
        <w:tc>
          <w:tcPr>
            <w:tcW w:w="15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TDLA 30-10 ULA Low</w:t>
            </w:r>
          </w:p>
        </w:tc>
        <w:tc>
          <w:tcPr>
            <w:tcW w:w="109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10.1</w:t>
            </w:r>
          </w:p>
        </w:tc>
        <w:tc>
          <w:tcPr>
            <w:tcW w:w="11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14.4</w:t>
            </w:r>
          </w:p>
        </w:tc>
      </w:tr>
      <w:tr>
        <w:tblPrEx>
          <w:tblCellMar>
            <w:top w:w="0" w:type="dxa"/>
            <w:left w:w="108" w:type="dxa"/>
            <w:bottom w:w="0" w:type="dxa"/>
            <w:right w:w="108" w:type="dxa"/>
          </w:tblCellMar>
        </w:tblPrEx>
        <w:trPr>
          <w:trHeight w:val="384" w:hRule="atLeast"/>
          <w:jc w:val="center"/>
        </w:trPr>
        <w:tc>
          <w:tcPr>
            <w:tcW w:w="9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TDLC 300-100 ULA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11.5</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16.7</w:t>
            </w:r>
          </w:p>
        </w:tc>
      </w:tr>
      <w:tr>
        <w:tblPrEx>
          <w:tblCellMar>
            <w:top w:w="0" w:type="dxa"/>
            <w:left w:w="108" w:type="dxa"/>
            <w:bottom w:w="0" w:type="dxa"/>
            <w:right w:w="108" w:type="dxa"/>
          </w:tblCellMar>
        </w:tblPrEx>
        <w:trPr>
          <w:trHeight w:val="74" w:hRule="atLeast"/>
          <w:jc w:val="center"/>
        </w:trPr>
        <w:tc>
          <w:tcPr>
            <w:tcW w:w="9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CDL-C UMa (38.827)</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18.4</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25.6</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ascii="Times New Roman" w:hAnsi="Times New Roman" w:eastAsia="宋体" w:cs="Times New Roman"/>
          <w:b/>
          <w:bCs/>
          <w:kern w:val="2"/>
          <w:sz w:val="21"/>
          <w:lang w:val="en-US" w:eastAsia="zh-CN" w:bidi="ar-SA"/>
        </w:rPr>
      </w:pPr>
      <w:r>
        <w:rPr>
          <w:rFonts w:hint="eastAsia" w:ascii="Times New Roman" w:hAnsi="Times New Roman" w:eastAsia="宋体" w:cs="Times New Roman"/>
          <w:b/>
          <w:bCs/>
          <w:kern w:val="2"/>
          <w:sz w:val="21"/>
          <w:lang w:val="en-US" w:eastAsia="zh-CN" w:bidi="ar-SA"/>
        </w:rPr>
        <w:t>Table 2-4. Throughput curves for Rank 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9"/>
        <w:gridCol w:w="4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bCs/>
                <w:i/>
                <w:iCs/>
                <w:szCs w:val="21"/>
                <w:vertAlign w:val="baseline"/>
                <w:lang w:val="en-US" w:eastAsia="zh-CN"/>
              </w:rPr>
            </w:pPr>
            <w:r>
              <w:rPr>
                <w:rFonts w:hint="default"/>
                <w:szCs w:val="20"/>
              </w:rPr>
              <w:drawing>
                <wp:inline distT="0" distB="0" distL="114300" distR="114300">
                  <wp:extent cx="3048000" cy="228663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3048000" cy="2286635"/>
                          </a:xfrm>
                          <a:prstGeom prst="rect">
                            <a:avLst/>
                          </a:prstGeom>
                          <a:noFill/>
                          <a:ln w="9525">
                            <a:noFill/>
                          </a:ln>
                        </pic:spPr>
                      </pic:pic>
                    </a:graphicData>
                  </a:graphic>
                </wp:inline>
              </w:drawing>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bCs/>
                <w:i/>
                <w:iCs/>
                <w:szCs w:val="21"/>
                <w:vertAlign w:val="baseline"/>
                <w:lang w:val="en-US" w:eastAsia="zh-CN"/>
              </w:rPr>
            </w:pPr>
            <w:r>
              <w:rPr>
                <w:rFonts w:hint="default"/>
                <w:szCs w:val="20"/>
              </w:rPr>
              <w:drawing>
                <wp:inline distT="0" distB="0" distL="114300" distR="114300">
                  <wp:extent cx="3021330" cy="2266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3021330" cy="226631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rPr>
            </w:pPr>
            <w:r>
              <w:rPr>
                <w:rFonts w:hint="default"/>
                <w:szCs w:val="20"/>
              </w:rPr>
              <w:drawing>
                <wp:inline distT="0" distB="0" distL="114300" distR="114300">
                  <wp:extent cx="3046095" cy="2284730"/>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6"/>
                          <a:stretch>
                            <a:fillRect/>
                          </a:stretch>
                        </pic:blipFill>
                        <pic:spPr>
                          <a:xfrm>
                            <a:off x="0" y="0"/>
                            <a:ext cx="3046095" cy="2284730"/>
                          </a:xfrm>
                          <a:prstGeom prst="rect">
                            <a:avLst/>
                          </a:prstGeom>
                          <a:noFill/>
                          <a:ln w="9525">
                            <a:noFill/>
                          </a:ln>
                        </pic:spPr>
                      </pic:pic>
                    </a:graphicData>
                  </a:graphic>
                </wp:inline>
              </w:drawing>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rPr>
            </w:pP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ascii="Times New Roman" w:hAnsi="Times New Roman" w:eastAsia="宋体" w:cs="Times New Roman"/>
          <w:b/>
          <w:bCs/>
          <w:kern w:val="2"/>
          <w:sz w:val="21"/>
          <w:lang w:val="en-US" w:eastAsia="zh-CN" w:bidi="ar-SA"/>
        </w:rPr>
      </w:pPr>
      <w:r>
        <w:rPr>
          <w:rFonts w:hint="eastAsia" w:ascii="Times New Roman" w:hAnsi="Times New Roman" w:eastAsia="宋体" w:cs="Times New Roman"/>
          <w:b/>
          <w:bCs/>
          <w:kern w:val="2"/>
          <w:sz w:val="21"/>
          <w:lang w:val="en-US" w:eastAsia="zh-CN" w:bidi="ar-SA"/>
        </w:rPr>
        <w:t>Table 2-5. SNR corresponding to 70% maximum throughput under Rank 8</w:t>
      </w:r>
    </w:p>
    <w:tbl>
      <w:tblPr>
        <w:tblStyle w:val="22"/>
        <w:tblW w:w="5924" w:type="dxa"/>
        <w:jc w:val="center"/>
        <w:tblLayout w:type="fixed"/>
        <w:tblCellMar>
          <w:top w:w="0" w:type="dxa"/>
          <w:left w:w="108" w:type="dxa"/>
          <w:bottom w:w="0" w:type="dxa"/>
          <w:right w:w="108" w:type="dxa"/>
        </w:tblCellMar>
      </w:tblPr>
      <w:tblGrid>
        <w:gridCol w:w="937"/>
        <w:gridCol w:w="1190"/>
        <w:gridCol w:w="1114"/>
        <w:gridCol w:w="1588"/>
        <w:gridCol w:w="1095"/>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114"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588"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cs="Times New Roman"/>
                <w:b/>
                <w:bCs/>
                <w:sz w:val="16"/>
                <w:szCs w:val="16"/>
                <w:lang w:val="en-US" w:eastAsia="zh-CN"/>
              </w:rPr>
              <w:t>Baseline</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w:t>
            </w:r>
            <w:r>
              <w:rPr>
                <w:rFonts w:hint="default" w:eastAsia="宋体" w:cs="Times New Roman"/>
                <w:b/>
                <w:bCs/>
                <w:sz w:val="16"/>
                <w:szCs w:val="16"/>
                <w:lang w:val="en-US" w:eastAsia="zh-CN"/>
              </w:rPr>
              <w:t>SNR@70% maxTP</w:t>
            </w:r>
            <w:r>
              <w:rPr>
                <w:rFonts w:hint="eastAsia" w:cs="Times New Roman"/>
                <w:b/>
                <w:bCs/>
                <w:sz w:val="16"/>
                <w:szCs w:val="16"/>
                <w:lang w:val="en-US" w:eastAsia="zh-CN"/>
              </w:rPr>
              <w:t>)</w:t>
            </w:r>
          </w:p>
        </w:tc>
      </w:tr>
      <w:tr>
        <w:tblPrEx>
          <w:tblCellMar>
            <w:top w:w="0" w:type="dxa"/>
            <w:left w:w="108" w:type="dxa"/>
            <w:bottom w:w="0" w:type="dxa"/>
            <w:right w:w="108" w:type="dxa"/>
          </w:tblCellMar>
        </w:tblPrEx>
        <w:trPr>
          <w:trHeight w:val="90" w:hRule="atLeast"/>
          <w:jc w:val="center"/>
        </w:trPr>
        <w:tc>
          <w:tcPr>
            <w:tcW w:w="9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sz w:val="18"/>
                <w:szCs w:val="18"/>
              </w:rPr>
            </w:pPr>
            <w:r>
              <w:rPr>
                <w:rFonts w:hint="eastAsia"/>
                <w:sz w:val="18"/>
                <w:szCs w:val="18"/>
              </w:rPr>
              <w:t>TDD 40 MHz/30 kHz</w:t>
            </w:r>
          </w:p>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sz w:val="18"/>
                <w:szCs w:val="18"/>
              </w:rPr>
              <w:t>(106)</w:t>
            </w:r>
          </w:p>
        </w:tc>
        <w:tc>
          <w:tcPr>
            <w:tcW w:w="11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8T8R</w:t>
            </w:r>
          </w:p>
        </w:tc>
        <w:tc>
          <w:tcPr>
            <w:tcW w:w="11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Rank 8, MCS 17</w:t>
            </w:r>
          </w:p>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(Table 1)</w:t>
            </w:r>
          </w:p>
        </w:tc>
        <w:tc>
          <w:tcPr>
            <w:tcW w:w="15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TDLA 30-10 ULA Low</w:t>
            </w:r>
          </w:p>
        </w:tc>
        <w:tc>
          <w:tcPr>
            <w:tcW w:w="109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14.5</w:t>
            </w:r>
          </w:p>
        </w:tc>
      </w:tr>
      <w:tr>
        <w:tblPrEx>
          <w:tblCellMar>
            <w:top w:w="0" w:type="dxa"/>
            <w:left w:w="108" w:type="dxa"/>
            <w:bottom w:w="0" w:type="dxa"/>
            <w:right w:w="108" w:type="dxa"/>
          </w:tblCellMar>
        </w:tblPrEx>
        <w:trPr>
          <w:trHeight w:val="605" w:hRule="atLeast"/>
          <w:jc w:val="center"/>
        </w:trPr>
        <w:tc>
          <w:tcPr>
            <w:tcW w:w="9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TDLC 300-100 ULA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18.1</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ascii="Times New Roman" w:hAnsi="Times New Roman" w:eastAsia="宋体" w:cs="Times New Roman"/>
          <w:b/>
          <w:bCs/>
          <w:kern w:val="2"/>
          <w:sz w:val="21"/>
          <w:lang w:val="en-US" w:eastAsia="zh-CN" w:bidi="ar-SA"/>
        </w:rPr>
      </w:pPr>
      <w:r>
        <w:rPr>
          <w:rFonts w:hint="eastAsia" w:ascii="Times New Roman" w:hAnsi="Times New Roman" w:eastAsia="宋体" w:cs="Times New Roman"/>
          <w:b/>
          <w:bCs/>
          <w:kern w:val="2"/>
          <w:sz w:val="21"/>
          <w:lang w:val="en-US" w:eastAsia="zh-CN" w:bidi="ar-SA"/>
        </w:rPr>
        <w:t>Table 2-6. Throughput curves for Rank 8</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8"/>
        <w:gridCol w:w="4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bCs/>
                <w:i/>
                <w:iCs/>
                <w:szCs w:val="21"/>
                <w:vertAlign w:val="baseline"/>
                <w:lang w:val="en-US" w:eastAsia="zh-CN"/>
              </w:rPr>
            </w:pPr>
            <w:r>
              <w:rPr>
                <w:rFonts w:hint="default"/>
                <w:szCs w:val="20"/>
              </w:rPr>
              <w:drawing>
                <wp:inline distT="0" distB="0" distL="114300" distR="114300">
                  <wp:extent cx="3017520" cy="226377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7"/>
                          <a:stretch>
                            <a:fillRect/>
                          </a:stretch>
                        </pic:blipFill>
                        <pic:spPr>
                          <a:xfrm>
                            <a:off x="0" y="0"/>
                            <a:ext cx="3017520" cy="2263775"/>
                          </a:xfrm>
                          <a:prstGeom prst="rect">
                            <a:avLst/>
                          </a:prstGeom>
                          <a:noFill/>
                          <a:ln w="9525">
                            <a:noFill/>
                          </a:ln>
                        </pic:spPr>
                      </pic:pic>
                    </a:graphicData>
                  </a:graphic>
                </wp:inline>
              </w:drawing>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b/>
                <w:bCs/>
                <w:i/>
                <w:iCs/>
                <w:szCs w:val="21"/>
                <w:vertAlign w:val="baseline"/>
                <w:lang w:val="en-US" w:eastAsia="zh-CN"/>
              </w:rPr>
            </w:pP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eastAsia="宋体"/>
          <w:b/>
          <w:bCs/>
          <w:i/>
          <w:iCs/>
          <w:szCs w:val="21"/>
          <w:lang w:val="en-US" w:eastAsia="zh-CN"/>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initial simulation results</w:t>
      </w:r>
      <w:r>
        <w:rPr>
          <w:rFonts w:hint="eastAsia"/>
          <w:bCs/>
          <w:kern w:val="0"/>
          <w:szCs w:val="21"/>
        </w:rPr>
        <w:t xml:space="preserve"> on</w:t>
      </w:r>
      <w:r>
        <w:rPr>
          <w:rFonts w:hint="eastAsia"/>
          <w:bCs/>
          <w:kern w:val="0"/>
          <w:szCs w:val="21"/>
          <w:lang w:val="en-US" w:eastAsia="zh-CN"/>
        </w:rPr>
        <w:t xml:space="preserve"> spatial channel model for </w:t>
      </w:r>
      <w:r>
        <w:rPr>
          <w:rFonts w:hint="eastAsia"/>
          <w:bCs/>
          <w:kern w:val="0"/>
          <w:szCs w:val="21"/>
        </w:rPr>
        <w:t xml:space="preserve">demodulation </w:t>
      </w:r>
      <w:r>
        <w:rPr>
          <w:rFonts w:hint="eastAsia"/>
          <w:bCs/>
          <w:kern w:val="0"/>
          <w:szCs w:val="21"/>
          <w:lang w:val="en-US" w:eastAsia="zh-CN"/>
        </w:rPr>
        <w:t xml:space="preserve">performance </w:t>
      </w:r>
      <w:r>
        <w:rPr>
          <w:rFonts w:hint="eastAsia"/>
          <w:bCs/>
          <w:kern w:val="0"/>
          <w:szCs w:val="21"/>
        </w:rPr>
        <w:t>requirements</w:t>
      </w:r>
      <w:r>
        <w:rPr>
          <w:rFonts w:hint="eastAsia"/>
          <w:bCs/>
          <w:kern w:val="0"/>
          <w:szCs w:val="21"/>
          <w:lang w:val="en-US" w:eastAsia="zh-CN"/>
        </w:rPr>
        <w:t>.</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RP-241610, New WID: Study on spatial channel model for demodulation performance requirements, Nokia.</w:t>
      </w: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R4-2413606, Way Forward for [112][327] FS_NR_demod_SCM. Noki</w:t>
      </w:r>
      <w:r>
        <w:rPr>
          <w:rFonts w:hint="eastAsia" w:eastAsia="宋体" w:cstheme="minorBidi"/>
          <w:kern w:val="0"/>
          <w:sz w:val="21"/>
          <w:szCs w:val="21"/>
          <w:lang w:val="en-US" w:eastAsia="zh-CN"/>
        </w:rPr>
        <w:t>a.</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DF7173C"/>
    <w:multiLevelType w:val="multilevel"/>
    <w:tmpl w:val="2DF71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63653"/>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14419D"/>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762AB"/>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B86A37"/>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77F50"/>
    <w:rsid w:val="07B9290D"/>
    <w:rsid w:val="07BB64F5"/>
    <w:rsid w:val="07BE52B9"/>
    <w:rsid w:val="07D57946"/>
    <w:rsid w:val="07D70D20"/>
    <w:rsid w:val="07ED524D"/>
    <w:rsid w:val="080124E3"/>
    <w:rsid w:val="080C7FA0"/>
    <w:rsid w:val="082D5BBC"/>
    <w:rsid w:val="08341060"/>
    <w:rsid w:val="0850164B"/>
    <w:rsid w:val="08787FF0"/>
    <w:rsid w:val="0889002B"/>
    <w:rsid w:val="08A200D8"/>
    <w:rsid w:val="08A44DA6"/>
    <w:rsid w:val="08AA245A"/>
    <w:rsid w:val="08BA6E24"/>
    <w:rsid w:val="08C562FD"/>
    <w:rsid w:val="08CA2731"/>
    <w:rsid w:val="08CA27B1"/>
    <w:rsid w:val="08CE6218"/>
    <w:rsid w:val="08E56C64"/>
    <w:rsid w:val="08E916DF"/>
    <w:rsid w:val="08EB4385"/>
    <w:rsid w:val="08EC1107"/>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2C26C1"/>
    <w:rsid w:val="0A3708FF"/>
    <w:rsid w:val="0A3A5FEA"/>
    <w:rsid w:val="0A3B01F9"/>
    <w:rsid w:val="0A3F0488"/>
    <w:rsid w:val="0A402A36"/>
    <w:rsid w:val="0A4B1185"/>
    <w:rsid w:val="0A646846"/>
    <w:rsid w:val="0A684820"/>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A42AB"/>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94522"/>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72EC0"/>
    <w:rsid w:val="104A023B"/>
    <w:rsid w:val="10505F3B"/>
    <w:rsid w:val="10547810"/>
    <w:rsid w:val="105A6448"/>
    <w:rsid w:val="106D2686"/>
    <w:rsid w:val="107C3E2C"/>
    <w:rsid w:val="107D41AE"/>
    <w:rsid w:val="108C2479"/>
    <w:rsid w:val="10B661A8"/>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07C8C"/>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06113"/>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2107"/>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17D2B"/>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664C67"/>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A2B8B"/>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5053C0"/>
    <w:rsid w:val="2A6E31F8"/>
    <w:rsid w:val="2A8A1A57"/>
    <w:rsid w:val="2A8A2F9C"/>
    <w:rsid w:val="2AAC5A06"/>
    <w:rsid w:val="2AB2134B"/>
    <w:rsid w:val="2ABB3D6F"/>
    <w:rsid w:val="2AC70B30"/>
    <w:rsid w:val="2ACC2AAF"/>
    <w:rsid w:val="2AD74744"/>
    <w:rsid w:val="2AD91AC2"/>
    <w:rsid w:val="2AE57C95"/>
    <w:rsid w:val="2AE674AF"/>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7A7BAB"/>
    <w:rsid w:val="2D8A3FA2"/>
    <w:rsid w:val="2D9767DC"/>
    <w:rsid w:val="2D980DDC"/>
    <w:rsid w:val="2D987372"/>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2086E"/>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975DF"/>
    <w:rsid w:val="328F5534"/>
    <w:rsid w:val="329A6ACE"/>
    <w:rsid w:val="32A230DB"/>
    <w:rsid w:val="32AE4A3C"/>
    <w:rsid w:val="32B62041"/>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4B0D2F"/>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AB62E1"/>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641F3"/>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362C"/>
    <w:rsid w:val="43874CD4"/>
    <w:rsid w:val="438E0FEA"/>
    <w:rsid w:val="439D51EA"/>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5F90BAB"/>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35809"/>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3C7010"/>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2285C"/>
    <w:rsid w:val="493E2F78"/>
    <w:rsid w:val="4948613B"/>
    <w:rsid w:val="495217DF"/>
    <w:rsid w:val="4958367A"/>
    <w:rsid w:val="496E52F3"/>
    <w:rsid w:val="49713D54"/>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C666BA"/>
    <w:rsid w:val="4AD25F33"/>
    <w:rsid w:val="4AE072CB"/>
    <w:rsid w:val="4AE1726E"/>
    <w:rsid w:val="4AE93159"/>
    <w:rsid w:val="4AF02EA1"/>
    <w:rsid w:val="4AF3575F"/>
    <w:rsid w:val="4B174032"/>
    <w:rsid w:val="4B250CF8"/>
    <w:rsid w:val="4B3E4F0D"/>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4D6AD9"/>
    <w:rsid w:val="5B5F300B"/>
    <w:rsid w:val="5B66707B"/>
    <w:rsid w:val="5B673066"/>
    <w:rsid w:val="5B785E83"/>
    <w:rsid w:val="5B7C1CD1"/>
    <w:rsid w:val="5B82056F"/>
    <w:rsid w:val="5B8E0DA3"/>
    <w:rsid w:val="5B9251EF"/>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0B21"/>
    <w:rsid w:val="62C376AC"/>
    <w:rsid w:val="62CE13CB"/>
    <w:rsid w:val="62D2197B"/>
    <w:rsid w:val="62E5554B"/>
    <w:rsid w:val="62F6011A"/>
    <w:rsid w:val="62FC691D"/>
    <w:rsid w:val="632170C2"/>
    <w:rsid w:val="6327422B"/>
    <w:rsid w:val="633B249F"/>
    <w:rsid w:val="6353654C"/>
    <w:rsid w:val="63552D76"/>
    <w:rsid w:val="6359778B"/>
    <w:rsid w:val="635B63E3"/>
    <w:rsid w:val="636642CA"/>
    <w:rsid w:val="638C3395"/>
    <w:rsid w:val="63980F53"/>
    <w:rsid w:val="63A9658E"/>
    <w:rsid w:val="63BA3154"/>
    <w:rsid w:val="63CA2E8B"/>
    <w:rsid w:val="63D129FB"/>
    <w:rsid w:val="63E333C1"/>
    <w:rsid w:val="63EF1ECE"/>
    <w:rsid w:val="63F47D2A"/>
    <w:rsid w:val="63FE2D33"/>
    <w:rsid w:val="64172D3D"/>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34D64"/>
    <w:rsid w:val="66265846"/>
    <w:rsid w:val="66287C9C"/>
    <w:rsid w:val="66337B4D"/>
    <w:rsid w:val="664805B8"/>
    <w:rsid w:val="665654C1"/>
    <w:rsid w:val="665A717C"/>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3E2C78"/>
    <w:rsid w:val="694C5FA5"/>
    <w:rsid w:val="695D6B21"/>
    <w:rsid w:val="69611EE7"/>
    <w:rsid w:val="696C708E"/>
    <w:rsid w:val="696F4D5D"/>
    <w:rsid w:val="69850854"/>
    <w:rsid w:val="69850877"/>
    <w:rsid w:val="698C13C5"/>
    <w:rsid w:val="69AE1F57"/>
    <w:rsid w:val="69D65676"/>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6A2BD8"/>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83181C"/>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0C632F"/>
    <w:rsid w:val="71151975"/>
    <w:rsid w:val="71200D23"/>
    <w:rsid w:val="713074DB"/>
    <w:rsid w:val="71336A65"/>
    <w:rsid w:val="713B0E5B"/>
    <w:rsid w:val="71486F62"/>
    <w:rsid w:val="71511268"/>
    <w:rsid w:val="71545B37"/>
    <w:rsid w:val="71573E01"/>
    <w:rsid w:val="71702748"/>
    <w:rsid w:val="717F0007"/>
    <w:rsid w:val="71867894"/>
    <w:rsid w:val="718C6F29"/>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B47460"/>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52A25"/>
    <w:rsid w:val="794708D9"/>
    <w:rsid w:val="794B21A1"/>
    <w:rsid w:val="795D4CA8"/>
    <w:rsid w:val="7964574A"/>
    <w:rsid w:val="796E5035"/>
    <w:rsid w:val="79941CF2"/>
    <w:rsid w:val="79973382"/>
    <w:rsid w:val="79C3399F"/>
    <w:rsid w:val="79D33056"/>
    <w:rsid w:val="79D82BB5"/>
    <w:rsid w:val="79EC0256"/>
    <w:rsid w:val="79F60153"/>
    <w:rsid w:val="79FB6E2C"/>
    <w:rsid w:val="7A000A00"/>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2024-10-07T12:49:29Z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